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7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1"/>
        <w:gridCol w:w="8496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Program/Area: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Improving the Physical Environment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&amp; Economic &amp; Educational Opportunities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Workgroup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Meeting Purpose: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To share ideas, report on activities, and make decisions for projects concerning the improvement of the physical environment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+ improving economic &amp; educational opportunities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in the towns of Covert, Lodi, Ovid, &amp; Romulus.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Date: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October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, 2021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Time: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6:30pm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Location: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Workgroup Leader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Karel Titus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+ Ave Bauder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Attendees: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List names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Karel Titus, Tony Del Plato, Jean Currie, Phyllis Motill, AJ Van Curen, Leon Kelly, Theresa Lahr, Kim Pollack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Minutes Issued By: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Kim Pollack</w:t>
            </w:r>
          </w:p>
        </w:tc>
      </w:tr>
    </w:tbl>
    <w:p>
      <w:pPr>
        <w:pStyle w:val="Body"/>
        <w:widowControl w:val="0"/>
        <w:ind w:left="2" w:hanging="2"/>
      </w:pPr>
    </w:p>
    <w:p>
      <w:pPr>
        <w:pStyle w:val="Body"/>
        <w:widowControl w:val="0"/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3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43"/>
        <w:gridCol w:w="1448"/>
        <w:gridCol w:w="1368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Next Steps: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(Task, Assigned to, Checkpoint Date)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Owner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Move Munson Rd book box to Covert Dollar Store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Jean, Kristin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N/A</w:t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Decisions Made: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(What, Why, Impacts)</w:t>
            </w:r>
          </w:p>
        </w:tc>
      </w:tr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numPr>
                <w:ilvl w:val="0"/>
                <w:numId w:val="1"/>
              </w:numPr>
              <w:rPr>
                <w:rFonts w:ascii="Arial" w:hAnsi="Arial"/>
                <w:b w:val="1"/>
                <w:bCs w:val="1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Next E3 Meeting is the 5th Monday (November 29th) at 6:30pm via Zoom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</w:p>
          <w:p>
            <w:pPr>
              <w:pStyle w:val="header"/>
              <w:numPr>
                <w:ilvl w:val="1"/>
                <w:numId w:val="2"/>
              </w:numPr>
              <w:rPr>
                <w:rFonts w:ascii="Arial" w:cs="Arial" w:hAnsi="Arial" w:eastAsia="Arial"/>
                <w:u w:color="0000ff"/>
              </w:rPr>
            </w:pPr>
          </w:p>
          <w:p>
            <w:pPr>
              <w:pStyle w:val="header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Discussion: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(Items/Knowledge Shared)</w:t>
            </w:r>
          </w:p>
        </w:tc>
      </w:tr>
      <w:tr>
        <w:tblPrEx>
          <w:shd w:val="clear" w:color="auto" w:fill="ced7e7"/>
        </w:tblPrEx>
        <w:trPr>
          <w:trHeight w:val="11202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Vision: for increased communication &amp; engagement </w:t>
            </w: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How to reach other people who are not involved with STEPS? (Theresa)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How to make community connection appealing to people who are busy, who believe in individualism over community? (Tony)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People are moving away from community; mentioned book 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Bowling Alone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(Jean)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At the Lodi pantry, people want to talk. We need to find ways to engage people, to learn about people.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Find out what people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 interests are (Theresa)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Face to face contact will get people talking (Tony)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The Lodi pantry is working on a grant to pay people to visit homes. (Karel)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Start with one to one conversations and then bring them into the group. (Karel)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Encourage lonely people to talk to others and not wallow in their loneliness. (Jean)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Continued Visioning Process</w:t>
            </w:r>
          </w:p>
          <w:p>
            <w:pPr>
              <w:pStyle w:val="Body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Support a park in Interlaken (Tony)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Community projects &amp; increased engagement (Karel)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More messaging on a sense/pride of place &amp; community cohesion (Theresa)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 xml:space="preserve">Updates 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Healthy Schools &amp; Communities Grant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—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still searching for a director (Ave)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Clean Energy Communities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—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Lodi is still working to become a certified Clean Energy Community &amp; get an electric car charger (Karel)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Next Composting meeting on December 1st 7pm on Zoom. (Tony)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Possible site for composting operation on Tunison Rd (Tony)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Climate Stewards halfway through training (Ave)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Book boxes doing well (Jean)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Two possible microenterprise grants/loans in the works (Theresa)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Restoring murals at Ovid Community Garden (Theresa)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Lodi Community Garden has been providing herbs &amp; flowers to the pantry (Karel)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RHPP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—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expansion of chair yoga program (Theresa)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</w:p>
          <w:p>
            <w:pPr>
              <w:pStyle w:val="Body"/>
              <w:rPr>
                <w:rFonts w:ascii="Arial" w:cs="Arial" w:hAnsi="Arial" w:eastAsia="Arial"/>
                <w:b w:val="1"/>
                <w:bCs w:val="1"/>
                <w:u w:color="0000ff"/>
              </w:rPr>
            </w:pPr>
            <w:r>
              <w:rPr>
                <w:rFonts w:ascii="Arial" w:hAnsi="Arial"/>
                <w:b w:val="1"/>
                <w:bCs w:val="1"/>
                <w:u w:color="0000ff"/>
                <w:rtl w:val="0"/>
                <w:lang w:val="en-US"/>
              </w:rPr>
              <w:t>Upcoming Events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Art &amp; Environmental Struggle Exhibit November 1, 6:30pm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Emergency Preparedness Meeting November 10th 6:30pm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Risers November 15th 6:30pm</w:t>
            </w:r>
          </w:p>
          <w:p>
            <w:pPr>
              <w:pStyle w:val="Body"/>
              <w:numPr>
                <w:ilvl w:val="0"/>
                <w:numId w:val="5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Tree lighting November 28th 4pm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PARKING LOT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[Describe any items that may have been deferred for a later discussion]</w:t>
            </w:r>
          </w:p>
          <w:p>
            <w:pPr>
              <w:pStyle w:val="Body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parking lot topic]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Miscellaneous Items:</w:t>
            </w:r>
          </w:p>
        </w:tc>
      </w:tr>
      <w:tr>
        <w:tblPrEx>
          <w:shd w:val="clear" w:color="auto" w:fill="ced7e7"/>
        </w:tblPrEx>
        <w:trPr>
          <w:trHeight w:val="163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any additional miscellaneous items]</w:t>
            </w:r>
          </w:p>
          <w:p>
            <w:pPr>
              <w:pStyle w:val="Body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details about the miscellaneous items]</w:t>
            </w:r>
          </w:p>
          <w:p>
            <w:pPr>
              <w:pStyle w:val="Body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any additional miscellaneous items]</w:t>
            </w:r>
          </w:p>
          <w:p>
            <w:pPr>
              <w:pStyle w:val="Body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details about the miscellaneous items]</w:t>
            </w:r>
          </w:p>
        </w:tc>
      </w:tr>
    </w:tbl>
    <w:p>
      <w:pPr>
        <w:pStyle w:val="Body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432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20" w:space="0" w:shadow="0" w:frame="0"/>
        <w:left w:val="nil"/>
        <w:bottom w:val="nil"/>
        <w:right w:val="nil"/>
      </w:pBdr>
      <w:tabs>
        <w:tab w:val="center" w:pos="4680"/>
        <w:tab w:val="right" w:pos="9340"/>
        <w:tab w:val="clear" w:pos="4320"/>
        <w:tab w:val="clear" w:pos="8640"/>
      </w:tabs>
      <w:jc w:val="center"/>
      <w:rPr>
        <w:rFonts w:ascii="Arial" w:cs="Arial" w:hAnsi="Arial" w:eastAsia="Arial"/>
        <w:i w:val="1"/>
        <w:iCs w:val="1"/>
        <w:outline w:val="0"/>
        <w:color w:val="0000ff"/>
        <w:sz w:val="18"/>
        <w:szCs w:val="18"/>
        <w:u w:color="0000ff"/>
        <w14:textFill>
          <w14:solidFill>
            <w14:srgbClr w14:val="0000FF"/>
          </w14:solidFill>
        </w14:textFill>
      </w:rPr>
    </w:pPr>
    <w:r>
      <w:rPr>
        <w:rFonts w:ascii="Arial" w:hAnsi="Arial"/>
        <w:b w:val="1"/>
        <w:bCs w:val="1"/>
        <w:sz w:val="18"/>
        <w:szCs w:val="18"/>
        <w:rtl w:val="0"/>
        <w:lang w:val="en-US"/>
      </w:rPr>
      <w:t>UP Template Version:</w:t>
    </w:r>
    <w:r>
      <w:rPr>
        <w:rFonts w:ascii="Arial" w:hAnsi="Arial"/>
        <w:sz w:val="18"/>
        <w:szCs w:val="18"/>
        <w:rtl w:val="0"/>
        <w:lang w:val="en-US"/>
      </w:rPr>
      <w:t xml:space="preserve"> 11/30/06</w:t>
    </w:r>
    <w:r>
      <w:rPr>
        <w:rFonts w:ascii="Arial" w:cs="Arial" w:hAnsi="Arial" w:eastAsia="Arial"/>
        <w:b w:val="1"/>
        <w:bCs w:val="1"/>
        <w:sz w:val="18"/>
        <w:szCs w:val="18"/>
      </w:rPr>
      <w:tab/>
      <w:tab/>
    </w:r>
    <w:r>
      <w:rPr>
        <w:rFonts w:ascii="Arial" w:hAnsi="Arial"/>
        <w:sz w:val="18"/>
        <w:szCs w:val="18"/>
        <w:rtl w:val="0"/>
        <w:lang w:val="en-US"/>
      </w:rPr>
      <w:t>Page</w:t>
    </w:r>
    <w:r>
      <w:rPr>
        <w:rFonts w:ascii="Arial" w:hAnsi="Arial"/>
        <w:b w:val="1"/>
        <w:bCs w:val="1"/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</w:p>
  <w:p>
    <w:pPr>
      <w:pStyle w:val="footer"/>
      <w:tabs>
        <w:tab w:val="center" w:pos="4680"/>
        <w:tab w:val="right" w:pos="9340"/>
        <w:tab w:val="clear" w:pos="4320"/>
        <w:tab w:val="clear" w:pos="8640"/>
      </w:tabs>
      <w:jc w:val="center"/>
    </w:pPr>
    <w:r>
      <w:rPr>
        <w:rFonts w:ascii="Arial" w:hAnsi="Arial"/>
        <w:i w:val="1"/>
        <w:iCs w:val="1"/>
        <w:outline w:val="0"/>
        <w:color w:val="0000ff"/>
        <w:sz w:val="18"/>
        <w:szCs w:val="18"/>
        <w:u w:color="0000ff"/>
        <w:rtl w:val="0"/>
        <w:lang w:val="en-US"/>
        <w14:textFill>
          <w14:solidFill>
            <w14:srgbClr w14:val="0000FF"/>
          </w14:solidFill>
        </w14:textFill>
      </w:rPr>
      <w:t>[Insert appropriate disclaimer(s)]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cs="Arial" w:hAnsi="Arial" w:eastAsia="Arial"/>
      </w:rPr>
    </w:pPr>
    <w:r>
      <w:rPr>
        <w:rFonts w:ascii="Arial" w:cs="Arial" w:hAnsi="Arial" w:eastAsia="Arial"/>
      </w:rPr>
      <w:drawing xmlns:a="http://schemas.openxmlformats.org/drawingml/2006/main">
        <wp:inline distT="0" distB="0" distL="0" distR="0">
          <wp:extent cx="5943600" cy="1193012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0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</w:pP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STEPS 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>E3 (IPE + E&amp;E)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 Workgroup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br w:type="textWrapping"/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>Meeting Minutes</w:t>
      <w:tab/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3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Minutes Heading1">
    <w:name w:val="Minutes Heading1"/>
    <w:next w:val="Minutes Heading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